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55214F">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 xml:space="preserve">The bidder shall confirm that </w:t>
      </w:r>
      <w:r w:rsidR="0055214F">
        <w:rPr>
          <w:rFonts w:ascii="Arial" w:hAnsi="Arial" w:cs="Arial"/>
        </w:rPr>
        <w:t>the dimension of Tyre ,pressure plate, screw &amp; PCD &amp; OD of coupling etc. will be same as that of Make: Unique.</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the purchase / source document of the tendered items at the time of delivery.</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5214F"/>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C0645"/>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2018-01-09T09:46:00Z</dcterms:modified>
</cp:coreProperties>
</file>